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9C2" w:rsidRDefault="00BC79C9">
      <w:pPr>
        <w:pStyle w:val="Heading1"/>
        <w:keepNext w:val="0"/>
        <w:keepLines w:val="0"/>
        <w:shd w:val="clear" w:color="auto" w:fill="FFFFFF"/>
        <w:spacing w:before="480"/>
        <w:rPr>
          <w:b/>
          <w:color w:val="333333"/>
          <w:sz w:val="38"/>
          <w:szCs w:val="38"/>
        </w:rPr>
      </w:pPr>
      <w:bookmarkStart w:id="0" w:name="_d391qy25ii6m" w:colFirst="0" w:colLast="0"/>
      <w:bookmarkStart w:id="1" w:name="_GoBack"/>
      <w:bookmarkEnd w:id="0"/>
      <w:bookmarkEnd w:id="1"/>
      <w:r>
        <w:rPr>
          <w:b/>
          <w:color w:val="333333"/>
          <w:sz w:val="38"/>
          <w:szCs w:val="38"/>
        </w:rPr>
        <w:t>Dashboard Benchmark Evaluation Scoring Guide</w:t>
      </w:r>
    </w:p>
    <w:tbl>
      <w:tblPr>
        <w:tblStyle w:val="a"/>
        <w:tblW w:w="9030" w:type="dxa"/>
        <w:tblBorders>
          <w:top w:val="nil"/>
          <w:left w:val="nil"/>
          <w:bottom w:val="nil"/>
          <w:right w:val="nil"/>
          <w:insideH w:val="nil"/>
          <w:insideV w:val="nil"/>
        </w:tblBorders>
        <w:tblLayout w:type="fixed"/>
        <w:tblLook w:val="0600" w:firstRow="0" w:lastRow="0" w:firstColumn="0" w:lastColumn="0" w:noHBand="1" w:noVBand="1"/>
      </w:tblPr>
      <w:tblGrid>
        <w:gridCol w:w="2321"/>
        <w:gridCol w:w="1665"/>
        <w:gridCol w:w="1674"/>
        <w:gridCol w:w="1674"/>
        <w:gridCol w:w="1696"/>
      </w:tblGrid>
      <w:tr w:rsidR="00A859C2">
        <w:trPr>
          <w:trHeight w:val="570"/>
        </w:trPr>
        <w:tc>
          <w:tcPr>
            <w:tcW w:w="2321" w:type="dxa"/>
            <w:tcBorders>
              <w:top w:val="single" w:sz="6" w:space="0" w:color="EEEEEE"/>
              <w:left w:val="single" w:sz="6" w:space="0" w:color="EEEEEE"/>
              <w:bottom w:val="single" w:sz="6" w:space="0" w:color="EEEEEE"/>
              <w:right w:val="single" w:sz="6" w:space="0" w:color="EEEEEE"/>
            </w:tcBorders>
            <w:tcMar>
              <w:top w:w="180" w:type="dxa"/>
              <w:left w:w="180" w:type="dxa"/>
              <w:bottom w:w="180" w:type="dxa"/>
              <w:right w:w="180" w:type="dxa"/>
            </w:tcMar>
            <w:vAlign w:val="center"/>
          </w:tcPr>
          <w:p w:rsidR="00A859C2" w:rsidRDefault="00BC79C9">
            <w:pPr>
              <w:spacing w:before="460" w:after="760"/>
              <w:jc w:val="center"/>
              <w:rPr>
                <w:color w:val="333333"/>
                <w:sz w:val="24"/>
                <w:szCs w:val="24"/>
              </w:rPr>
            </w:pPr>
            <w:r>
              <w:rPr>
                <w:color w:val="333333"/>
                <w:sz w:val="24"/>
                <w:szCs w:val="24"/>
              </w:rPr>
              <w:t>CRITERIA</w:t>
            </w:r>
          </w:p>
        </w:tc>
        <w:tc>
          <w:tcPr>
            <w:tcW w:w="1665" w:type="dxa"/>
            <w:tcBorders>
              <w:top w:val="single" w:sz="6" w:space="0" w:color="EEEEEE"/>
              <w:left w:val="single" w:sz="6" w:space="0" w:color="EEEEEE"/>
              <w:bottom w:val="single" w:sz="6" w:space="0" w:color="EEEEEE"/>
              <w:right w:val="single" w:sz="6" w:space="0" w:color="EEEEEE"/>
            </w:tcBorders>
            <w:shd w:val="clear" w:color="auto" w:fill="E50000"/>
            <w:tcMar>
              <w:top w:w="180" w:type="dxa"/>
              <w:left w:w="180" w:type="dxa"/>
              <w:bottom w:w="180" w:type="dxa"/>
              <w:right w:w="180" w:type="dxa"/>
            </w:tcMar>
            <w:vAlign w:val="center"/>
          </w:tcPr>
          <w:p w:rsidR="00A859C2" w:rsidRDefault="00BC79C9">
            <w:pPr>
              <w:spacing w:before="460" w:after="760"/>
              <w:jc w:val="center"/>
              <w:rPr>
                <w:color w:val="333333"/>
                <w:sz w:val="24"/>
                <w:szCs w:val="24"/>
              </w:rPr>
            </w:pPr>
            <w:r>
              <w:rPr>
                <w:color w:val="333333"/>
                <w:sz w:val="24"/>
                <w:szCs w:val="24"/>
              </w:rPr>
              <w:t>NON-PERFORMANCE</w:t>
            </w:r>
          </w:p>
        </w:tc>
        <w:tc>
          <w:tcPr>
            <w:tcW w:w="1673" w:type="dxa"/>
            <w:tcBorders>
              <w:top w:val="single" w:sz="6" w:space="0" w:color="EEEEEE"/>
              <w:left w:val="single" w:sz="6" w:space="0" w:color="EEEEEE"/>
              <w:bottom w:val="single" w:sz="6" w:space="0" w:color="EEEEEE"/>
              <w:right w:val="single" w:sz="6" w:space="0" w:color="EEEEEE"/>
            </w:tcBorders>
            <w:shd w:val="clear" w:color="auto" w:fill="F0A001"/>
            <w:tcMar>
              <w:top w:w="180" w:type="dxa"/>
              <w:left w:w="180" w:type="dxa"/>
              <w:bottom w:w="180" w:type="dxa"/>
              <w:right w:w="180" w:type="dxa"/>
            </w:tcMar>
            <w:vAlign w:val="center"/>
          </w:tcPr>
          <w:p w:rsidR="00A859C2" w:rsidRDefault="00BC79C9">
            <w:pPr>
              <w:spacing w:before="460" w:after="760"/>
              <w:jc w:val="center"/>
              <w:rPr>
                <w:color w:val="333333"/>
                <w:sz w:val="24"/>
                <w:szCs w:val="24"/>
              </w:rPr>
            </w:pPr>
            <w:r>
              <w:rPr>
                <w:color w:val="333333"/>
                <w:sz w:val="24"/>
                <w:szCs w:val="24"/>
              </w:rPr>
              <w:t>BASIC</w:t>
            </w:r>
          </w:p>
        </w:tc>
        <w:tc>
          <w:tcPr>
            <w:tcW w:w="1673" w:type="dxa"/>
            <w:tcBorders>
              <w:top w:val="single" w:sz="6" w:space="0" w:color="EEEEEE"/>
              <w:left w:val="single" w:sz="6" w:space="0" w:color="EEEEEE"/>
              <w:bottom w:val="single" w:sz="6" w:space="0" w:color="EEEEEE"/>
              <w:right w:val="single" w:sz="6" w:space="0" w:color="EEEEEE"/>
            </w:tcBorders>
            <w:shd w:val="clear" w:color="auto" w:fill="009450"/>
            <w:tcMar>
              <w:top w:w="180" w:type="dxa"/>
              <w:left w:w="180" w:type="dxa"/>
              <w:bottom w:w="180" w:type="dxa"/>
              <w:right w:w="180" w:type="dxa"/>
            </w:tcMar>
            <w:vAlign w:val="center"/>
          </w:tcPr>
          <w:p w:rsidR="00A859C2" w:rsidRDefault="00BC79C9">
            <w:pPr>
              <w:spacing w:before="460" w:after="760"/>
              <w:jc w:val="center"/>
              <w:rPr>
                <w:color w:val="333333"/>
                <w:sz w:val="24"/>
                <w:szCs w:val="24"/>
              </w:rPr>
            </w:pPr>
            <w:r>
              <w:rPr>
                <w:color w:val="333333"/>
                <w:sz w:val="24"/>
                <w:szCs w:val="24"/>
              </w:rPr>
              <w:t>PROFICIENT</w:t>
            </w:r>
          </w:p>
        </w:tc>
        <w:tc>
          <w:tcPr>
            <w:tcW w:w="1695" w:type="dxa"/>
            <w:tcBorders>
              <w:top w:val="single" w:sz="6" w:space="0" w:color="EEEEEE"/>
              <w:left w:val="single" w:sz="6" w:space="0" w:color="EEEEEE"/>
              <w:bottom w:val="single" w:sz="6" w:space="0" w:color="EEEEEE"/>
              <w:right w:val="single" w:sz="6" w:space="0" w:color="EEEEEE"/>
            </w:tcBorders>
            <w:shd w:val="clear" w:color="auto" w:fill="0D4F27"/>
            <w:tcMar>
              <w:top w:w="180" w:type="dxa"/>
              <w:left w:w="180" w:type="dxa"/>
              <w:bottom w:w="180" w:type="dxa"/>
              <w:right w:w="180" w:type="dxa"/>
            </w:tcMar>
            <w:vAlign w:val="center"/>
          </w:tcPr>
          <w:p w:rsidR="00A859C2" w:rsidRDefault="00BC79C9">
            <w:pPr>
              <w:spacing w:before="460" w:after="760"/>
              <w:jc w:val="center"/>
              <w:rPr>
                <w:color w:val="333333"/>
                <w:sz w:val="24"/>
                <w:szCs w:val="24"/>
              </w:rPr>
            </w:pPr>
            <w:r>
              <w:rPr>
                <w:color w:val="333333"/>
                <w:sz w:val="24"/>
                <w:szCs w:val="24"/>
              </w:rPr>
              <w:t>DISTINGUISHED</w:t>
            </w:r>
          </w:p>
        </w:tc>
      </w:tr>
      <w:tr w:rsidR="00A859C2">
        <w:trPr>
          <w:trHeight w:val="3720"/>
        </w:trPr>
        <w:tc>
          <w:tcPr>
            <w:tcW w:w="2321"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rPr>
                <w:color w:val="333333"/>
                <w:sz w:val="24"/>
                <w:szCs w:val="24"/>
              </w:rPr>
            </w:pPr>
            <w:r>
              <w:rPr>
                <w:color w:val="333333"/>
                <w:sz w:val="29"/>
                <w:szCs w:val="29"/>
              </w:rPr>
              <w:t>Evaluate dashboard metrics with regard to benchmarks set by local, state, or federal health care policies or laws.</w:t>
            </w:r>
          </w:p>
        </w:tc>
        <w:tc>
          <w:tcPr>
            <w:tcW w:w="166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jc w:val="center"/>
              <w:rPr>
                <w:color w:val="333333"/>
                <w:sz w:val="24"/>
                <w:szCs w:val="24"/>
              </w:rPr>
            </w:pPr>
            <w:r>
              <w:rPr>
                <w:color w:val="333333"/>
                <w:sz w:val="24"/>
                <w:szCs w:val="24"/>
              </w:rPr>
              <w:t>Does not analyze dashboard metrics with regard to benchmarks set by local, state, or federal health care policies or laws.</w:t>
            </w:r>
          </w:p>
        </w:tc>
        <w:tc>
          <w:tcPr>
            <w:tcW w:w="167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jc w:val="center"/>
              <w:rPr>
                <w:color w:val="333333"/>
                <w:sz w:val="24"/>
                <w:szCs w:val="24"/>
              </w:rPr>
            </w:pPr>
            <w:r>
              <w:rPr>
                <w:color w:val="333333"/>
                <w:sz w:val="24"/>
                <w:szCs w:val="24"/>
              </w:rPr>
              <w:t>Analyzes dashboard metrics, but relationship to benchmarks set by local, state, or federal health care policies or laws is missing or</w:t>
            </w:r>
            <w:r>
              <w:rPr>
                <w:color w:val="333333"/>
                <w:sz w:val="24"/>
                <w:szCs w:val="24"/>
              </w:rPr>
              <w:t xml:space="preserve"> flawed.</w:t>
            </w:r>
          </w:p>
        </w:tc>
        <w:tc>
          <w:tcPr>
            <w:tcW w:w="167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jc w:val="center"/>
              <w:rPr>
                <w:color w:val="333333"/>
                <w:sz w:val="24"/>
                <w:szCs w:val="24"/>
              </w:rPr>
            </w:pPr>
            <w:r>
              <w:rPr>
                <w:color w:val="333333"/>
                <w:sz w:val="24"/>
                <w:szCs w:val="24"/>
              </w:rPr>
              <w:t>Evaluates dashboard metrics with regard to benchmarks set by local, state, or federal health care policies or laws.</w:t>
            </w:r>
          </w:p>
        </w:tc>
        <w:tc>
          <w:tcPr>
            <w:tcW w:w="169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jc w:val="center"/>
              <w:rPr>
                <w:color w:val="333333"/>
                <w:sz w:val="24"/>
                <w:szCs w:val="24"/>
              </w:rPr>
            </w:pPr>
            <w:r>
              <w:rPr>
                <w:color w:val="333333"/>
                <w:sz w:val="24"/>
                <w:szCs w:val="24"/>
              </w:rPr>
              <w:t>Evaluates dashboard metrics with regard to benchmarks set by local, state, or federal health care policies or laws, and identifies knowledge gaps, unknowns, missing information, unanswered questions, or areas of uncertainty (where further information could</w:t>
            </w:r>
            <w:r>
              <w:rPr>
                <w:color w:val="333333"/>
                <w:sz w:val="24"/>
                <w:szCs w:val="24"/>
              </w:rPr>
              <w:t xml:space="preserve"> improve the evaluation).</w:t>
            </w:r>
          </w:p>
        </w:tc>
      </w:tr>
      <w:tr w:rsidR="00A859C2">
        <w:trPr>
          <w:trHeight w:val="2595"/>
        </w:trPr>
        <w:tc>
          <w:tcPr>
            <w:tcW w:w="2321"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rPr>
                <w:color w:val="333333"/>
                <w:sz w:val="24"/>
                <w:szCs w:val="24"/>
              </w:rPr>
            </w:pPr>
            <w:r>
              <w:rPr>
                <w:color w:val="333333"/>
                <w:sz w:val="29"/>
                <w:szCs w:val="29"/>
              </w:rPr>
              <w:lastRenderedPageBreak/>
              <w:t xml:space="preserve">Analyze challenges that meeting prescribed benchmarks can pose for a heath care organization or an </w:t>
            </w:r>
            <w:proofErr w:type="spellStart"/>
            <w:r>
              <w:rPr>
                <w:color w:val="333333"/>
                <w:sz w:val="29"/>
                <w:szCs w:val="29"/>
              </w:rPr>
              <w:t>interprofessional</w:t>
            </w:r>
            <w:proofErr w:type="spellEnd"/>
            <w:r>
              <w:rPr>
                <w:color w:val="333333"/>
                <w:sz w:val="29"/>
                <w:szCs w:val="29"/>
              </w:rPr>
              <w:t xml:space="preserve"> team.</w:t>
            </w:r>
          </w:p>
        </w:tc>
        <w:tc>
          <w:tcPr>
            <w:tcW w:w="166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jc w:val="center"/>
              <w:rPr>
                <w:color w:val="333333"/>
                <w:sz w:val="24"/>
                <w:szCs w:val="24"/>
              </w:rPr>
            </w:pPr>
            <w:r>
              <w:rPr>
                <w:color w:val="333333"/>
                <w:sz w:val="24"/>
                <w:szCs w:val="24"/>
              </w:rPr>
              <w:t xml:space="preserve">Does not list challenges that meeting prescribed benchmarks can pose for a heath care organization or an </w:t>
            </w:r>
            <w:proofErr w:type="spellStart"/>
            <w:r>
              <w:rPr>
                <w:color w:val="333333"/>
                <w:sz w:val="24"/>
                <w:szCs w:val="24"/>
              </w:rPr>
              <w:t>i</w:t>
            </w:r>
            <w:r>
              <w:rPr>
                <w:color w:val="333333"/>
                <w:sz w:val="24"/>
                <w:szCs w:val="24"/>
              </w:rPr>
              <w:t>nterprofessional</w:t>
            </w:r>
            <w:proofErr w:type="spellEnd"/>
            <w:r>
              <w:rPr>
                <w:color w:val="333333"/>
                <w:sz w:val="24"/>
                <w:szCs w:val="24"/>
              </w:rPr>
              <w:t xml:space="preserve"> team.</w:t>
            </w:r>
          </w:p>
        </w:tc>
        <w:tc>
          <w:tcPr>
            <w:tcW w:w="167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jc w:val="center"/>
              <w:rPr>
                <w:color w:val="333333"/>
                <w:sz w:val="24"/>
                <w:szCs w:val="24"/>
              </w:rPr>
            </w:pPr>
            <w:r>
              <w:rPr>
                <w:color w:val="333333"/>
                <w:sz w:val="24"/>
                <w:szCs w:val="24"/>
              </w:rPr>
              <w:t xml:space="preserve">Lists but does not analyze challenges that meeting prescribed benchmarks can pose for a heath care organization or an </w:t>
            </w:r>
            <w:proofErr w:type="spellStart"/>
            <w:r>
              <w:rPr>
                <w:color w:val="333333"/>
                <w:sz w:val="24"/>
                <w:szCs w:val="24"/>
              </w:rPr>
              <w:t>interprofessional</w:t>
            </w:r>
            <w:proofErr w:type="spellEnd"/>
            <w:r>
              <w:rPr>
                <w:color w:val="333333"/>
                <w:sz w:val="24"/>
                <w:szCs w:val="24"/>
              </w:rPr>
              <w:t xml:space="preserve"> team, or provides a flawed analysis that misses key challenges.</w:t>
            </w:r>
          </w:p>
        </w:tc>
        <w:tc>
          <w:tcPr>
            <w:tcW w:w="167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jc w:val="center"/>
              <w:rPr>
                <w:color w:val="333333"/>
                <w:sz w:val="24"/>
                <w:szCs w:val="24"/>
              </w:rPr>
            </w:pPr>
            <w:r>
              <w:rPr>
                <w:color w:val="333333"/>
                <w:sz w:val="24"/>
                <w:szCs w:val="24"/>
              </w:rPr>
              <w:t xml:space="preserve">Analyzes challenges that meeting </w:t>
            </w:r>
            <w:r>
              <w:rPr>
                <w:color w:val="333333"/>
                <w:sz w:val="24"/>
                <w:szCs w:val="24"/>
              </w:rPr>
              <w:t xml:space="preserve">prescribed benchmarks can pose for a heath care organization or an </w:t>
            </w:r>
            <w:proofErr w:type="spellStart"/>
            <w:r>
              <w:rPr>
                <w:color w:val="333333"/>
                <w:sz w:val="24"/>
                <w:szCs w:val="24"/>
              </w:rPr>
              <w:t>interprofessional</w:t>
            </w:r>
            <w:proofErr w:type="spellEnd"/>
            <w:r>
              <w:rPr>
                <w:color w:val="333333"/>
                <w:sz w:val="24"/>
                <w:szCs w:val="24"/>
              </w:rPr>
              <w:t xml:space="preserve"> team.</w:t>
            </w:r>
          </w:p>
        </w:tc>
        <w:tc>
          <w:tcPr>
            <w:tcW w:w="169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jc w:val="center"/>
              <w:rPr>
                <w:color w:val="333333"/>
                <w:sz w:val="24"/>
                <w:szCs w:val="24"/>
              </w:rPr>
            </w:pPr>
            <w:r>
              <w:rPr>
                <w:color w:val="333333"/>
                <w:sz w:val="24"/>
                <w:szCs w:val="24"/>
              </w:rPr>
              <w:t xml:space="preserve">Analyzes challenges that meeting prescribed benchmarks can pose for a heath care organization or an </w:t>
            </w:r>
            <w:proofErr w:type="spellStart"/>
            <w:r>
              <w:rPr>
                <w:color w:val="333333"/>
                <w:sz w:val="24"/>
                <w:szCs w:val="24"/>
              </w:rPr>
              <w:t>interprofessional</w:t>
            </w:r>
            <w:proofErr w:type="spellEnd"/>
            <w:r>
              <w:rPr>
                <w:color w:val="333333"/>
                <w:sz w:val="24"/>
                <w:szCs w:val="24"/>
              </w:rPr>
              <w:t xml:space="preserve"> team, and identifies assumptions on which the a</w:t>
            </w:r>
            <w:r>
              <w:rPr>
                <w:color w:val="333333"/>
                <w:sz w:val="24"/>
                <w:szCs w:val="24"/>
              </w:rPr>
              <w:t>nalysis is based.</w:t>
            </w:r>
          </w:p>
        </w:tc>
      </w:tr>
      <w:tr w:rsidR="00A859C2">
        <w:trPr>
          <w:trHeight w:val="3435"/>
        </w:trPr>
        <w:tc>
          <w:tcPr>
            <w:tcW w:w="2321"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rPr>
                <w:color w:val="333333"/>
                <w:sz w:val="24"/>
                <w:szCs w:val="24"/>
              </w:rPr>
            </w:pPr>
            <w:r>
              <w:rPr>
                <w:color w:val="333333"/>
                <w:sz w:val="29"/>
                <w:szCs w:val="29"/>
              </w:rPr>
              <w:t xml:space="preserve">Evaluate a benchmark underperformance in a heath care organization or an </w:t>
            </w:r>
            <w:proofErr w:type="spellStart"/>
            <w:r>
              <w:rPr>
                <w:color w:val="333333"/>
                <w:sz w:val="29"/>
                <w:szCs w:val="29"/>
              </w:rPr>
              <w:t>interprofessional</w:t>
            </w:r>
            <w:proofErr w:type="spellEnd"/>
            <w:r>
              <w:rPr>
                <w:color w:val="333333"/>
                <w:sz w:val="29"/>
                <w:szCs w:val="29"/>
              </w:rPr>
              <w:t xml:space="preserve"> team that has the potential for greatly </w:t>
            </w:r>
            <w:r>
              <w:rPr>
                <w:color w:val="333333"/>
                <w:sz w:val="29"/>
                <w:szCs w:val="29"/>
              </w:rPr>
              <w:lastRenderedPageBreak/>
              <w:t>improving overall quality or performance.</w:t>
            </w:r>
          </w:p>
        </w:tc>
        <w:tc>
          <w:tcPr>
            <w:tcW w:w="166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jc w:val="center"/>
              <w:rPr>
                <w:color w:val="333333"/>
                <w:sz w:val="24"/>
                <w:szCs w:val="24"/>
              </w:rPr>
            </w:pPr>
            <w:r>
              <w:rPr>
                <w:color w:val="333333"/>
                <w:sz w:val="24"/>
                <w:szCs w:val="24"/>
              </w:rPr>
              <w:lastRenderedPageBreak/>
              <w:t xml:space="preserve">Does not evaluate a benchmark underperformance in a heath care organization or an </w:t>
            </w:r>
            <w:proofErr w:type="spellStart"/>
            <w:r>
              <w:rPr>
                <w:color w:val="333333"/>
                <w:sz w:val="24"/>
                <w:szCs w:val="24"/>
              </w:rPr>
              <w:t>interprofessional</w:t>
            </w:r>
            <w:proofErr w:type="spellEnd"/>
            <w:r>
              <w:rPr>
                <w:color w:val="333333"/>
                <w:sz w:val="24"/>
                <w:szCs w:val="24"/>
              </w:rPr>
              <w:t xml:space="preserve"> team that has the potential for greatly improving overall </w:t>
            </w:r>
            <w:r>
              <w:rPr>
                <w:color w:val="333333"/>
                <w:sz w:val="24"/>
                <w:szCs w:val="24"/>
              </w:rPr>
              <w:lastRenderedPageBreak/>
              <w:t>quality or performance.</w:t>
            </w:r>
          </w:p>
        </w:tc>
        <w:tc>
          <w:tcPr>
            <w:tcW w:w="167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jc w:val="center"/>
              <w:rPr>
                <w:color w:val="333333"/>
                <w:sz w:val="24"/>
                <w:szCs w:val="24"/>
              </w:rPr>
            </w:pPr>
            <w:r>
              <w:rPr>
                <w:color w:val="333333"/>
                <w:sz w:val="24"/>
                <w:szCs w:val="24"/>
              </w:rPr>
              <w:lastRenderedPageBreak/>
              <w:t>Provides a partial or flawed evaluation of a benchmark underperformance in</w:t>
            </w:r>
            <w:r>
              <w:rPr>
                <w:color w:val="333333"/>
                <w:sz w:val="24"/>
                <w:szCs w:val="24"/>
              </w:rPr>
              <w:t xml:space="preserve"> a heath care organization or an </w:t>
            </w:r>
            <w:proofErr w:type="spellStart"/>
            <w:r>
              <w:rPr>
                <w:color w:val="333333"/>
                <w:sz w:val="24"/>
                <w:szCs w:val="24"/>
              </w:rPr>
              <w:t>interprofessional</w:t>
            </w:r>
            <w:proofErr w:type="spellEnd"/>
            <w:r>
              <w:rPr>
                <w:color w:val="333333"/>
                <w:sz w:val="24"/>
                <w:szCs w:val="24"/>
              </w:rPr>
              <w:t xml:space="preserve"> team; misses factors that </w:t>
            </w:r>
            <w:r>
              <w:rPr>
                <w:color w:val="333333"/>
                <w:sz w:val="24"/>
                <w:szCs w:val="24"/>
              </w:rPr>
              <w:lastRenderedPageBreak/>
              <w:t>are key to understanding the potential for improving overall quality or performance.</w:t>
            </w:r>
          </w:p>
        </w:tc>
        <w:tc>
          <w:tcPr>
            <w:tcW w:w="167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jc w:val="center"/>
              <w:rPr>
                <w:color w:val="333333"/>
                <w:sz w:val="24"/>
                <w:szCs w:val="24"/>
              </w:rPr>
            </w:pPr>
            <w:r>
              <w:rPr>
                <w:color w:val="333333"/>
                <w:sz w:val="24"/>
                <w:szCs w:val="24"/>
              </w:rPr>
              <w:lastRenderedPageBreak/>
              <w:t xml:space="preserve">Evaluates a benchmark underperformance in a heath care organization or an </w:t>
            </w:r>
            <w:proofErr w:type="spellStart"/>
            <w:r>
              <w:rPr>
                <w:color w:val="333333"/>
                <w:sz w:val="24"/>
                <w:szCs w:val="24"/>
              </w:rPr>
              <w:t>interprofessional</w:t>
            </w:r>
            <w:proofErr w:type="spellEnd"/>
            <w:r>
              <w:rPr>
                <w:color w:val="333333"/>
                <w:sz w:val="24"/>
                <w:szCs w:val="24"/>
              </w:rPr>
              <w:t xml:space="preserve"> te</w:t>
            </w:r>
            <w:r>
              <w:rPr>
                <w:color w:val="333333"/>
                <w:sz w:val="24"/>
                <w:szCs w:val="24"/>
              </w:rPr>
              <w:t xml:space="preserve">am that has the potential for greatly improving overall quality or </w:t>
            </w:r>
            <w:r>
              <w:rPr>
                <w:color w:val="333333"/>
                <w:sz w:val="24"/>
                <w:szCs w:val="24"/>
              </w:rPr>
              <w:lastRenderedPageBreak/>
              <w:t>performance.</w:t>
            </w:r>
          </w:p>
        </w:tc>
        <w:tc>
          <w:tcPr>
            <w:tcW w:w="169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jc w:val="center"/>
              <w:rPr>
                <w:color w:val="333333"/>
                <w:sz w:val="24"/>
                <w:szCs w:val="24"/>
              </w:rPr>
            </w:pPr>
            <w:r>
              <w:rPr>
                <w:color w:val="333333"/>
                <w:sz w:val="24"/>
                <w:szCs w:val="24"/>
              </w:rPr>
              <w:lastRenderedPageBreak/>
              <w:t xml:space="preserve">Evaluates a benchmark underperformance in a heath care organization or an </w:t>
            </w:r>
            <w:proofErr w:type="spellStart"/>
            <w:r>
              <w:rPr>
                <w:color w:val="333333"/>
                <w:sz w:val="24"/>
                <w:szCs w:val="24"/>
              </w:rPr>
              <w:t>interprofessional</w:t>
            </w:r>
            <w:proofErr w:type="spellEnd"/>
            <w:r>
              <w:rPr>
                <w:color w:val="333333"/>
                <w:sz w:val="24"/>
                <w:szCs w:val="24"/>
              </w:rPr>
              <w:t xml:space="preserve"> team that has the potential for greatly improving overall quality or </w:t>
            </w:r>
            <w:r>
              <w:rPr>
                <w:color w:val="333333"/>
                <w:sz w:val="24"/>
                <w:szCs w:val="24"/>
              </w:rPr>
              <w:lastRenderedPageBreak/>
              <w:t>performance, an</w:t>
            </w:r>
            <w:r>
              <w:rPr>
                <w:color w:val="333333"/>
                <w:sz w:val="24"/>
                <w:szCs w:val="24"/>
              </w:rPr>
              <w:t>d defends reasoning for selecting this benchmark over another with similar potential for improvement.</w:t>
            </w:r>
          </w:p>
        </w:tc>
      </w:tr>
      <w:tr w:rsidR="00A859C2">
        <w:trPr>
          <w:trHeight w:val="2595"/>
        </w:trPr>
        <w:tc>
          <w:tcPr>
            <w:tcW w:w="2321"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rPr>
                <w:color w:val="333333"/>
                <w:sz w:val="24"/>
                <w:szCs w:val="24"/>
              </w:rPr>
            </w:pPr>
            <w:r>
              <w:rPr>
                <w:color w:val="333333"/>
                <w:sz w:val="29"/>
                <w:szCs w:val="29"/>
              </w:rPr>
              <w:lastRenderedPageBreak/>
              <w:t>Advocate for ethical action in addressing a benchmark underperformance, directed toward an appropriate group of stakeholders.</w:t>
            </w:r>
          </w:p>
        </w:tc>
        <w:tc>
          <w:tcPr>
            <w:tcW w:w="166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jc w:val="center"/>
              <w:rPr>
                <w:color w:val="333333"/>
                <w:sz w:val="24"/>
                <w:szCs w:val="24"/>
              </w:rPr>
            </w:pPr>
            <w:r>
              <w:rPr>
                <w:color w:val="333333"/>
                <w:sz w:val="24"/>
                <w:szCs w:val="24"/>
              </w:rPr>
              <w:t>Does not advocate for ethical action in addressing a benchmark underperformance, directed toward an appropriate group of stakeholders.</w:t>
            </w:r>
          </w:p>
        </w:tc>
        <w:tc>
          <w:tcPr>
            <w:tcW w:w="167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jc w:val="center"/>
              <w:rPr>
                <w:color w:val="333333"/>
                <w:sz w:val="24"/>
                <w:szCs w:val="24"/>
              </w:rPr>
            </w:pPr>
            <w:r>
              <w:rPr>
                <w:color w:val="333333"/>
                <w:sz w:val="24"/>
                <w:szCs w:val="24"/>
              </w:rPr>
              <w:t>Attempts to advocate for ethical action but attempt is flawed, superficial, or does not address an appropriate group of s</w:t>
            </w:r>
            <w:r>
              <w:rPr>
                <w:color w:val="333333"/>
                <w:sz w:val="24"/>
                <w:szCs w:val="24"/>
              </w:rPr>
              <w:t>takeholders.</w:t>
            </w:r>
          </w:p>
        </w:tc>
        <w:tc>
          <w:tcPr>
            <w:tcW w:w="167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jc w:val="center"/>
              <w:rPr>
                <w:color w:val="333333"/>
                <w:sz w:val="24"/>
                <w:szCs w:val="24"/>
              </w:rPr>
            </w:pPr>
            <w:r>
              <w:rPr>
                <w:color w:val="333333"/>
                <w:sz w:val="24"/>
                <w:szCs w:val="24"/>
              </w:rPr>
              <w:t>Advocates for ethical action in addressing a benchmark underperformance, directed toward an appropriate group of stakeholders.</w:t>
            </w:r>
          </w:p>
        </w:tc>
        <w:tc>
          <w:tcPr>
            <w:tcW w:w="169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jc w:val="center"/>
              <w:rPr>
                <w:color w:val="333333"/>
                <w:sz w:val="24"/>
                <w:szCs w:val="24"/>
              </w:rPr>
            </w:pPr>
            <w:r>
              <w:rPr>
                <w:color w:val="333333"/>
                <w:sz w:val="24"/>
                <w:szCs w:val="24"/>
              </w:rPr>
              <w:t>Advocates for ethical action in addressing a benchmark underperformance, directed at an appropriate group of stakeho</w:t>
            </w:r>
            <w:r>
              <w:rPr>
                <w:color w:val="333333"/>
                <w:sz w:val="24"/>
                <w:szCs w:val="24"/>
              </w:rPr>
              <w:t>lders, and recommends criteria for evaluating the effectiveness of recommended action.</w:t>
            </w:r>
          </w:p>
        </w:tc>
      </w:tr>
      <w:tr w:rsidR="00A859C2">
        <w:trPr>
          <w:trHeight w:val="3165"/>
        </w:trPr>
        <w:tc>
          <w:tcPr>
            <w:tcW w:w="2321"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rPr>
                <w:color w:val="333333"/>
                <w:sz w:val="24"/>
                <w:szCs w:val="24"/>
              </w:rPr>
            </w:pPr>
            <w:r>
              <w:rPr>
                <w:color w:val="333333"/>
                <w:sz w:val="29"/>
                <w:szCs w:val="29"/>
              </w:rPr>
              <w:lastRenderedPageBreak/>
              <w:t>Communicate evaluation and analysis in a professional and effective manner, writing content clearly and logically, with correct use of grammar, punctuation, and spellin</w:t>
            </w:r>
            <w:r>
              <w:rPr>
                <w:color w:val="333333"/>
                <w:sz w:val="29"/>
                <w:szCs w:val="29"/>
              </w:rPr>
              <w:t>g.</w:t>
            </w:r>
          </w:p>
        </w:tc>
        <w:tc>
          <w:tcPr>
            <w:tcW w:w="166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jc w:val="center"/>
              <w:rPr>
                <w:color w:val="333333"/>
                <w:sz w:val="24"/>
                <w:szCs w:val="24"/>
              </w:rPr>
            </w:pPr>
            <w:r>
              <w:rPr>
                <w:color w:val="333333"/>
                <w:sz w:val="24"/>
                <w:szCs w:val="24"/>
              </w:rPr>
              <w:t>Does not communicate evaluation and analysis findings and recommendations in a professional and effective manner; does not write content clearly and logically, and does not use correct grammar, punctuation, and spelling.</w:t>
            </w:r>
          </w:p>
        </w:tc>
        <w:tc>
          <w:tcPr>
            <w:tcW w:w="167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jc w:val="center"/>
              <w:rPr>
                <w:color w:val="333333"/>
                <w:sz w:val="24"/>
                <w:szCs w:val="24"/>
              </w:rPr>
            </w:pPr>
            <w:r>
              <w:rPr>
                <w:color w:val="333333"/>
                <w:sz w:val="24"/>
                <w:szCs w:val="24"/>
              </w:rPr>
              <w:t>Communicates evaluation and anal</w:t>
            </w:r>
            <w:r>
              <w:rPr>
                <w:color w:val="333333"/>
                <w:sz w:val="24"/>
                <w:szCs w:val="24"/>
              </w:rPr>
              <w:t>ysis findings and recommendations that are not consistently professional, effective, clear, and logical, or that contain errors in use of grammar, punctuation, or spelling that distract from the message.</w:t>
            </w:r>
          </w:p>
        </w:tc>
        <w:tc>
          <w:tcPr>
            <w:tcW w:w="167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jc w:val="center"/>
              <w:rPr>
                <w:color w:val="333333"/>
                <w:sz w:val="24"/>
                <w:szCs w:val="24"/>
              </w:rPr>
            </w:pPr>
            <w:r>
              <w:rPr>
                <w:color w:val="333333"/>
                <w:sz w:val="24"/>
                <w:szCs w:val="24"/>
              </w:rPr>
              <w:t>Communicates evaluation and analysis in a profession</w:t>
            </w:r>
            <w:r>
              <w:rPr>
                <w:color w:val="333333"/>
                <w:sz w:val="24"/>
                <w:szCs w:val="24"/>
              </w:rPr>
              <w:t>al and effective manner, writing content clearly and logically, with correct use of grammar, punctuation, and spelling.</w:t>
            </w:r>
          </w:p>
        </w:tc>
        <w:tc>
          <w:tcPr>
            <w:tcW w:w="169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jc w:val="center"/>
              <w:rPr>
                <w:color w:val="333333"/>
                <w:sz w:val="24"/>
                <w:szCs w:val="24"/>
              </w:rPr>
            </w:pPr>
            <w:r>
              <w:rPr>
                <w:color w:val="333333"/>
                <w:sz w:val="24"/>
                <w:szCs w:val="24"/>
              </w:rPr>
              <w:t>Communicates evaluation and analysis findings and recommendations that are professional, effective, and insightful; the content is clear</w:t>
            </w:r>
            <w:r>
              <w:rPr>
                <w:color w:val="333333"/>
                <w:sz w:val="24"/>
                <w:szCs w:val="24"/>
              </w:rPr>
              <w:t>, logical, and persuasive; and grammar, punctuation, and spelling are without errors.</w:t>
            </w:r>
          </w:p>
        </w:tc>
      </w:tr>
      <w:tr w:rsidR="00A859C2">
        <w:trPr>
          <w:trHeight w:val="2100"/>
        </w:trPr>
        <w:tc>
          <w:tcPr>
            <w:tcW w:w="2321"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rPr>
                <w:color w:val="333333"/>
                <w:sz w:val="24"/>
                <w:szCs w:val="24"/>
              </w:rPr>
            </w:pPr>
            <w:r>
              <w:rPr>
                <w:color w:val="333333"/>
                <w:sz w:val="29"/>
                <w:szCs w:val="29"/>
              </w:rPr>
              <w:t xml:space="preserve">Integrate relevant sources to support arguments, correctly formatting citations and references </w:t>
            </w:r>
            <w:r>
              <w:rPr>
                <w:color w:val="333333"/>
                <w:sz w:val="29"/>
                <w:szCs w:val="29"/>
              </w:rPr>
              <w:lastRenderedPageBreak/>
              <w:t>using current APA style.</w:t>
            </w:r>
          </w:p>
        </w:tc>
        <w:tc>
          <w:tcPr>
            <w:tcW w:w="166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jc w:val="center"/>
              <w:rPr>
                <w:color w:val="333333"/>
                <w:sz w:val="24"/>
                <w:szCs w:val="24"/>
              </w:rPr>
            </w:pPr>
            <w:r>
              <w:rPr>
                <w:color w:val="333333"/>
                <w:sz w:val="24"/>
                <w:szCs w:val="24"/>
              </w:rPr>
              <w:lastRenderedPageBreak/>
              <w:t xml:space="preserve">Does not integrate relevant sources to support arguments; does not correctly format citations and references </w:t>
            </w:r>
            <w:r>
              <w:rPr>
                <w:color w:val="333333"/>
                <w:sz w:val="24"/>
                <w:szCs w:val="24"/>
              </w:rPr>
              <w:lastRenderedPageBreak/>
              <w:t>using current APA style.</w:t>
            </w:r>
          </w:p>
        </w:tc>
        <w:tc>
          <w:tcPr>
            <w:tcW w:w="167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jc w:val="center"/>
              <w:rPr>
                <w:color w:val="333333"/>
                <w:sz w:val="24"/>
                <w:szCs w:val="24"/>
              </w:rPr>
            </w:pPr>
            <w:r>
              <w:rPr>
                <w:color w:val="333333"/>
                <w:sz w:val="24"/>
                <w:szCs w:val="24"/>
              </w:rPr>
              <w:lastRenderedPageBreak/>
              <w:t xml:space="preserve">Cites sources that lack relevance or integrates them poorly, or formats citations or </w:t>
            </w:r>
            <w:r>
              <w:rPr>
                <w:color w:val="333333"/>
                <w:sz w:val="24"/>
                <w:szCs w:val="24"/>
              </w:rPr>
              <w:lastRenderedPageBreak/>
              <w:t>references incorrectly.</w:t>
            </w:r>
          </w:p>
        </w:tc>
        <w:tc>
          <w:tcPr>
            <w:tcW w:w="1673"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jc w:val="center"/>
              <w:rPr>
                <w:color w:val="333333"/>
                <w:sz w:val="24"/>
                <w:szCs w:val="24"/>
              </w:rPr>
            </w:pPr>
            <w:r>
              <w:rPr>
                <w:color w:val="333333"/>
                <w:sz w:val="24"/>
                <w:szCs w:val="24"/>
              </w:rPr>
              <w:lastRenderedPageBreak/>
              <w:t>Integrates re</w:t>
            </w:r>
            <w:r>
              <w:rPr>
                <w:color w:val="333333"/>
                <w:sz w:val="24"/>
                <w:szCs w:val="24"/>
              </w:rPr>
              <w:t xml:space="preserve">levant sources to support arguments, correctly formatting citations and references using </w:t>
            </w:r>
            <w:r>
              <w:rPr>
                <w:color w:val="333333"/>
                <w:sz w:val="24"/>
                <w:szCs w:val="24"/>
              </w:rPr>
              <w:lastRenderedPageBreak/>
              <w:t>current APA style.</w:t>
            </w:r>
          </w:p>
        </w:tc>
        <w:tc>
          <w:tcPr>
            <w:tcW w:w="169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tcPr>
          <w:p w:rsidR="00A859C2" w:rsidRDefault="00BC79C9">
            <w:pPr>
              <w:spacing w:before="460" w:after="760"/>
              <w:jc w:val="center"/>
              <w:rPr>
                <w:color w:val="333333"/>
                <w:sz w:val="24"/>
                <w:szCs w:val="24"/>
              </w:rPr>
            </w:pPr>
            <w:r>
              <w:rPr>
                <w:color w:val="333333"/>
                <w:sz w:val="24"/>
                <w:szCs w:val="24"/>
              </w:rPr>
              <w:lastRenderedPageBreak/>
              <w:t xml:space="preserve">Integrates relevant sources to support arguments, correctly formatting citations and references using current APA </w:t>
            </w:r>
            <w:r>
              <w:rPr>
                <w:color w:val="333333"/>
                <w:sz w:val="24"/>
                <w:szCs w:val="24"/>
              </w:rPr>
              <w:lastRenderedPageBreak/>
              <w:t>style. Citations are free from all errors.</w:t>
            </w:r>
          </w:p>
        </w:tc>
      </w:tr>
    </w:tbl>
    <w:p w:rsidR="00A859C2" w:rsidRDefault="00A859C2"/>
    <w:sectPr w:rsidR="00A859C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9C2"/>
    <w:rsid w:val="00A859C2"/>
    <w:rsid w:val="00BC7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A5CED1-11F7-4A30-BF31-1BF155EC9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757</Words>
  <Characters>4320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2020-05-20T21:31:00Z</dcterms:created>
  <dcterms:modified xsi:type="dcterms:W3CDTF">2020-05-20T21:31:00Z</dcterms:modified>
</cp:coreProperties>
</file>